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U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Overview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The Internal Responsibility System (IRS) is a foundational principle under Ontario’s Occupational Health and Safety Act (OHSA). It establishes that all parties in the workplace—employers, supervisors, and workers—share responsibility for maintaining a safe work environment.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Key Principles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Employer Responsibility: Employers must provide safe working conditions, equipment, and procedures. They are responsible for establishing and maintaining safety policies, conducting hazard assessments, and ensuring compliance with the OHSA.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Supervisor Responsibility: Supervisors ensure workers are aware of workplace hazards, trained on safety procedures, and follow established safety practices. Supervisors must also report hazards and incidents to management.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Worker Responsibility: Workers have the right to refuse unsafe work and the responsibility to follow safety procedures, report hazards, and participate in workplace health and safety activities.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Joint Health and Safety Committee (JHSC): Required in workplaces with 20+ workers, the JHSC brings together employer and worker representatives to identify and address safety concerns collaboratively.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Why It Matters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The IRS creates a shared accountability system where everyone contributes to workplace safety. This approach has been proven to reduce incidents and create a stronger safety culture across all organizational levels.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Getting Started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Establish clear safety roles and responsibilities in writing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2. Train all staff on their specific safety obligations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3. Create a process for reporting hazards and incidents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4. Hold regular safety meetings and reviews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5. Foster open communication about safety concerns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